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86A74" w14:textId="77777777" w:rsidR="00B161E8" w:rsidRDefault="00B161E8" w:rsidP="00B161E8">
      <w:pPr>
        <w:spacing w:line="276" w:lineRule="auto"/>
        <w:jc w:val="left"/>
        <w:rPr>
          <w:rFonts w:ascii="Arial" w:hAnsi="Arial" w:cs="Arial"/>
          <w:bCs/>
        </w:rPr>
      </w:pPr>
    </w:p>
    <w:p w14:paraId="3F4193BF" w14:textId="024B8432" w:rsidR="00222F7B" w:rsidRDefault="00B161E8" w:rsidP="00B161E8">
      <w:pPr>
        <w:spacing w:line="276" w:lineRule="auto"/>
        <w:jc w:val="left"/>
        <w:rPr>
          <w:rFonts w:ascii="Arial" w:hAnsi="Arial" w:cs="Arial"/>
          <w:bCs/>
        </w:rPr>
      </w:pPr>
      <w:r w:rsidRPr="00B161E8">
        <w:rPr>
          <w:rFonts w:ascii="Arial" w:hAnsi="Arial" w:cs="Arial"/>
          <w:bCs/>
        </w:rPr>
        <w:t xml:space="preserve">Załącznik nr </w:t>
      </w:r>
      <w:r>
        <w:rPr>
          <w:rFonts w:ascii="Arial" w:hAnsi="Arial" w:cs="Arial"/>
          <w:bCs/>
        </w:rPr>
        <w:t>1</w:t>
      </w:r>
      <w:r w:rsidRPr="00B161E8">
        <w:rPr>
          <w:rFonts w:ascii="Arial" w:hAnsi="Arial" w:cs="Arial"/>
          <w:bCs/>
        </w:rPr>
        <w:t xml:space="preserve"> do Procedury monitorowania i kontroli powierzonych grantów EFS+</w:t>
      </w:r>
    </w:p>
    <w:p w14:paraId="7CDF5429" w14:textId="77777777" w:rsidR="00B161E8" w:rsidRDefault="00B161E8" w:rsidP="00B161E8">
      <w:pPr>
        <w:suppressAutoHyphens w:val="0"/>
        <w:spacing w:before="120" w:after="120" w:line="276" w:lineRule="auto"/>
        <w:contextualSpacing/>
        <w:jc w:val="left"/>
        <w:rPr>
          <w:rFonts w:ascii="Arial" w:hAnsi="Arial" w:cs="Arial"/>
          <w:bCs/>
        </w:rPr>
      </w:pPr>
    </w:p>
    <w:p w14:paraId="60309DCA" w14:textId="77777777" w:rsidR="00B161E8" w:rsidRDefault="00B161E8" w:rsidP="00B161E8">
      <w:pPr>
        <w:suppressAutoHyphens w:val="0"/>
        <w:spacing w:before="120" w:after="120" w:line="276" w:lineRule="auto"/>
        <w:contextualSpacing/>
        <w:jc w:val="left"/>
        <w:rPr>
          <w:rFonts w:ascii="Arial" w:hAnsi="Arial" w:cs="Arial"/>
          <w:bCs/>
        </w:rPr>
      </w:pPr>
    </w:p>
    <w:p w14:paraId="5B969399" w14:textId="1EACA487" w:rsidR="00B161E8" w:rsidRDefault="00B161E8" w:rsidP="00B161E8">
      <w:pPr>
        <w:suppressAutoHyphens w:val="0"/>
        <w:spacing w:before="120" w:after="120" w:line="276" w:lineRule="auto"/>
        <w:contextualSpacing/>
        <w:jc w:val="left"/>
        <w:rPr>
          <w:rFonts w:ascii="Arial" w:hAnsi="Arial" w:cs="Arial"/>
          <w:b/>
          <w:bCs/>
          <w:color w:val="0D0D0D" w:themeColor="text1" w:themeTint="F2"/>
          <w:lang w:eastAsia="pl-PL"/>
        </w:rPr>
      </w:pPr>
      <w:r w:rsidRPr="00B161E8">
        <w:rPr>
          <w:rFonts w:ascii="Arial" w:hAnsi="Arial" w:cs="Arial"/>
          <w:b/>
          <w:bCs/>
          <w:color w:val="0D0D0D" w:themeColor="text1" w:themeTint="F2"/>
          <w:lang w:eastAsia="pl-PL"/>
        </w:rPr>
        <w:t>Metodologia doboru grantów do kontroli zawierająca analizę ryzyka.</w:t>
      </w:r>
    </w:p>
    <w:p w14:paraId="610374EF" w14:textId="77777777" w:rsidR="00B161E8" w:rsidRPr="00B161E8" w:rsidRDefault="00B161E8" w:rsidP="00B161E8">
      <w:pPr>
        <w:suppressAutoHyphens w:val="0"/>
        <w:spacing w:before="120" w:after="120" w:line="276" w:lineRule="auto"/>
        <w:ind w:left="142" w:hanging="294"/>
        <w:contextualSpacing/>
        <w:jc w:val="left"/>
        <w:rPr>
          <w:rFonts w:ascii="Arial" w:hAnsi="Arial" w:cs="Arial"/>
          <w:b/>
          <w:bCs/>
          <w:color w:val="0D0D0D" w:themeColor="text1" w:themeTint="F2"/>
          <w:lang w:eastAsia="pl-PL"/>
        </w:rPr>
      </w:pPr>
    </w:p>
    <w:p w14:paraId="3AA943B4" w14:textId="77777777" w:rsidR="00B161E8" w:rsidRPr="00B161E8" w:rsidRDefault="00B161E8" w:rsidP="00B161E8">
      <w:pPr>
        <w:numPr>
          <w:ilvl w:val="0"/>
          <w:numId w:val="5"/>
        </w:numPr>
        <w:suppressAutoHyphens w:val="0"/>
        <w:spacing w:before="120" w:after="120" w:line="276" w:lineRule="auto"/>
        <w:contextualSpacing/>
        <w:jc w:val="left"/>
        <w:rPr>
          <w:rFonts w:ascii="Arial" w:hAnsi="Arial" w:cs="Arial"/>
          <w:color w:val="0D0D0D" w:themeColor="text1" w:themeTint="F2"/>
          <w:lang w:eastAsia="pl-PL"/>
        </w:rPr>
      </w:pPr>
      <w:r w:rsidRPr="00B161E8">
        <w:rPr>
          <w:rFonts w:ascii="Arial" w:hAnsi="Arial" w:cs="Arial"/>
          <w:b/>
          <w:bCs/>
          <w:color w:val="0D0D0D" w:themeColor="text1" w:themeTint="F2"/>
          <w:lang w:eastAsia="pl-PL"/>
        </w:rPr>
        <w:t>Kontrola planowa obejmuje 100% umów o powierzenie grantów.</w:t>
      </w:r>
      <w:r w:rsidRPr="00B161E8">
        <w:rPr>
          <w:rFonts w:ascii="Arial" w:hAnsi="Arial" w:cs="Arial"/>
          <w:color w:val="0D0D0D" w:themeColor="text1" w:themeTint="F2"/>
          <w:lang w:eastAsia="pl-PL"/>
        </w:rPr>
        <w:t xml:space="preserve"> </w:t>
      </w:r>
    </w:p>
    <w:p w14:paraId="0A97122E" w14:textId="77777777" w:rsidR="00B161E8" w:rsidRPr="00B161E8" w:rsidRDefault="00B161E8" w:rsidP="00B161E8">
      <w:pPr>
        <w:numPr>
          <w:ilvl w:val="0"/>
          <w:numId w:val="5"/>
        </w:numPr>
        <w:suppressAutoHyphens w:val="0"/>
        <w:spacing w:before="120" w:after="120" w:line="276" w:lineRule="auto"/>
        <w:contextualSpacing/>
        <w:jc w:val="left"/>
        <w:rPr>
          <w:rFonts w:ascii="Arial" w:hAnsi="Arial" w:cs="Arial"/>
          <w:color w:val="0D0D0D" w:themeColor="text1" w:themeTint="F2"/>
          <w:lang w:eastAsia="pl-PL"/>
        </w:rPr>
      </w:pPr>
      <w:r w:rsidRPr="00B161E8">
        <w:rPr>
          <w:rFonts w:ascii="Arial" w:hAnsi="Arial" w:cs="Arial"/>
          <w:color w:val="0D0D0D" w:themeColor="text1" w:themeTint="F2"/>
          <w:lang w:eastAsia="pl-PL"/>
        </w:rPr>
        <w:t xml:space="preserve">Kontrola planowa może być przeprowadzona w siedzibie </w:t>
      </w:r>
      <w:proofErr w:type="spellStart"/>
      <w:r w:rsidRPr="00B161E8">
        <w:rPr>
          <w:rFonts w:ascii="Arial" w:hAnsi="Arial" w:cs="Arial"/>
          <w:color w:val="0D0D0D" w:themeColor="text1" w:themeTint="F2"/>
          <w:lang w:eastAsia="pl-PL"/>
        </w:rPr>
        <w:t>Grantobiorcy</w:t>
      </w:r>
      <w:proofErr w:type="spellEnd"/>
      <w:r w:rsidRPr="00B161E8">
        <w:rPr>
          <w:rFonts w:ascii="Arial" w:hAnsi="Arial" w:cs="Arial"/>
          <w:color w:val="0D0D0D" w:themeColor="text1" w:themeTint="F2"/>
          <w:lang w:eastAsia="pl-PL"/>
        </w:rPr>
        <w:t xml:space="preserve">, w miejscu realizacji projektu objętego grantem, w biurze projektu, przy czym niektóre czynności kontrolne mogą być prowadzone w siedzibie podmiotu kontrolującego na podstawie danych i dokumentów przekazywanych przez </w:t>
      </w:r>
      <w:proofErr w:type="spellStart"/>
      <w:r w:rsidRPr="00B161E8">
        <w:rPr>
          <w:rFonts w:ascii="Arial" w:hAnsi="Arial" w:cs="Arial"/>
          <w:color w:val="0D0D0D" w:themeColor="text1" w:themeTint="F2"/>
          <w:lang w:eastAsia="pl-PL"/>
        </w:rPr>
        <w:t>Grantobiorcę</w:t>
      </w:r>
      <w:proofErr w:type="spellEnd"/>
      <w:r w:rsidRPr="00B161E8">
        <w:rPr>
          <w:rFonts w:ascii="Arial" w:hAnsi="Arial" w:cs="Arial"/>
          <w:color w:val="0D0D0D" w:themeColor="text1" w:themeTint="F2"/>
          <w:lang w:eastAsia="pl-PL"/>
        </w:rPr>
        <w:t>. W uzasadnionych przypadkach, m. in. gdy wsparcie w ramach projektu objętego grantem jest udzielane w formule zdalnej, możliwe jest prowadzenie czynności kontrolnych zdalnie, za pośrednictwem kanałów komunikacji elektronicznej.</w:t>
      </w:r>
    </w:p>
    <w:p w14:paraId="60A1349E" w14:textId="77777777" w:rsidR="00B161E8" w:rsidRPr="00B161E8" w:rsidRDefault="00B161E8" w:rsidP="00B161E8">
      <w:pPr>
        <w:numPr>
          <w:ilvl w:val="0"/>
          <w:numId w:val="5"/>
        </w:numPr>
        <w:suppressAutoHyphens w:val="0"/>
        <w:spacing w:before="120" w:after="120" w:line="276" w:lineRule="auto"/>
        <w:contextualSpacing/>
        <w:jc w:val="left"/>
        <w:rPr>
          <w:rFonts w:ascii="Arial" w:hAnsi="Arial" w:cs="Arial"/>
          <w:color w:val="0D0D0D" w:themeColor="text1" w:themeTint="F2"/>
          <w:lang w:eastAsia="pl-PL"/>
        </w:rPr>
      </w:pPr>
      <w:r w:rsidRPr="00B161E8">
        <w:rPr>
          <w:rFonts w:ascii="Arial" w:hAnsi="Arial" w:cs="Arial"/>
          <w:color w:val="0D0D0D" w:themeColor="text1" w:themeTint="F2"/>
          <w:lang w:eastAsia="pl-PL"/>
        </w:rPr>
        <w:t>Kontrola planowa może być przeprowadzana od dnia podpisania umowy o powierzenie grantu na realizację projektu objętego grantem i nie później niż do końca okresu wskazanego w umowie o powierzenie grantu/wniosku o powierzenie grantu. Planuje się, że kontrola przeprowadzona będzie nie wcześniej niż po zatwierdzeniu pierwszego wniosku o płatność, o ile nie jest on wnioskiem końcowym nie później niż do dnia zatwierdzenia końcowego wniosku o rozlicznie grantu.</w:t>
      </w:r>
    </w:p>
    <w:p w14:paraId="236C7D4C" w14:textId="77777777" w:rsidR="00B161E8" w:rsidRPr="00B161E8" w:rsidRDefault="00B161E8" w:rsidP="00B161E8">
      <w:pPr>
        <w:numPr>
          <w:ilvl w:val="0"/>
          <w:numId w:val="5"/>
        </w:numPr>
        <w:suppressAutoHyphens w:val="0"/>
        <w:spacing w:before="120" w:after="120" w:line="276" w:lineRule="auto"/>
        <w:contextualSpacing/>
        <w:jc w:val="left"/>
        <w:rPr>
          <w:rFonts w:ascii="Arial" w:hAnsi="Arial" w:cs="Arial"/>
          <w:color w:val="0D0D0D" w:themeColor="text1" w:themeTint="F2"/>
          <w:lang w:eastAsia="pl-PL"/>
        </w:rPr>
      </w:pPr>
      <w:r w:rsidRPr="00B161E8">
        <w:rPr>
          <w:rFonts w:ascii="Arial" w:hAnsi="Arial" w:cs="Arial"/>
          <w:b/>
          <w:bCs/>
          <w:color w:val="0D0D0D" w:themeColor="text1" w:themeTint="F2"/>
          <w:lang w:eastAsia="pl-PL"/>
        </w:rPr>
        <w:t>Wizyta monitoringowa obejmuje 100% umów o powierzenie grantów.</w:t>
      </w:r>
    </w:p>
    <w:p w14:paraId="140F95AB" w14:textId="77777777" w:rsidR="00B161E8" w:rsidRPr="00B161E8" w:rsidRDefault="00B161E8" w:rsidP="00B161E8">
      <w:pPr>
        <w:numPr>
          <w:ilvl w:val="0"/>
          <w:numId w:val="5"/>
        </w:numPr>
        <w:suppressAutoHyphens w:val="0"/>
        <w:spacing w:before="120" w:after="120" w:line="276" w:lineRule="auto"/>
        <w:contextualSpacing/>
        <w:jc w:val="left"/>
        <w:rPr>
          <w:rFonts w:ascii="Arial" w:hAnsi="Arial" w:cs="Arial"/>
          <w:color w:val="0D0D0D" w:themeColor="text1" w:themeTint="F2"/>
          <w:lang w:eastAsia="pl-PL"/>
        </w:rPr>
      </w:pPr>
      <w:r w:rsidRPr="00B161E8">
        <w:rPr>
          <w:rFonts w:ascii="Arial" w:hAnsi="Arial" w:cs="Arial"/>
          <w:color w:val="0D0D0D" w:themeColor="text1" w:themeTint="F2"/>
          <w:lang w:eastAsia="pl-PL"/>
        </w:rPr>
        <w:t xml:space="preserve">Kadra projektu ustala termin i miejsce przeprowadzenia wizyty monitoringowej </w:t>
      </w:r>
      <w:bookmarkStart w:id="0" w:name="_Hlk188873758"/>
      <w:r w:rsidRPr="00B161E8">
        <w:rPr>
          <w:rFonts w:ascii="Arial" w:hAnsi="Arial" w:cs="Arial"/>
          <w:color w:val="0D0D0D" w:themeColor="text1" w:themeTint="F2"/>
          <w:lang w:eastAsia="pl-PL"/>
        </w:rPr>
        <w:t xml:space="preserve">na podstawie harmonogramów realizacji wsparcia. </w:t>
      </w:r>
    </w:p>
    <w:bookmarkEnd w:id="0"/>
    <w:p w14:paraId="34ED786B" w14:textId="77777777" w:rsidR="00B161E8" w:rsidRPr="00B161E8" w:rsidRDefault="00B161E8" w:rsidP="00B161E8">
      <w:pPr>
        <w:numPr>
          <w:ilvl w:val="0"/>
          <w:numId w:val="5"/>
        </w:numPr>
        <w:suppressAutoHyphens w:val="0"/>
        <w:spacing w:before="120" w:after="120" w:line="276" w:lineRule="auto"/>
        <w:contextualSpacing/>
        <w:jc w:val="left"/>
        <w:rPr>
          <w:rFonts w:ascii="Arial" w:hAnsi="Arial" w:cs="Arial"/>
          <w:color w:val="0D0D0D" w:themeColor="text1" w:themeTint="F2"/>
          <w:lang w:eastAsia="pl-PL"/>
        </w:rPr>
      </w:pPr>
      <w:r w:rsidRPr="00B161E8">
        <w:rPr>
          <w:rFonts w:ascii="Arial" w:hAnsi="Arial" w:cs="Arial"/>
          <w:color w:val="0D0D0D" w:themeColor="text1" w:themeTint="F2"/>
          <w:lang w:eastAsia="pl-PL"/>
        </w:rPr>
        <w:t xml:space="preserve">Wizyta monitoringowa – przeprowadzana jest w miejscu realizacji zadania, celem weryfikacji u </w:t>
      </w:r>
      <w:proofErr w:type="spellStart"/>
      <w:r w:rsidRPr="00B161E8">
        <w:rPr>
          <w:rFonts w:ascii="Arial" w:hAnsi="Arial" w:cs="Arial"/>
          <w:color w:val="0D0D0D" w:themeColor="text1" w:themeTint="F2"/>
          <w:lang w:eastAsia="pl-PL"/>
        </w:rPr>
        <w:t>Grantobiorcy</w:t>
      </w:r>
      <w:proofErr w:type="spellEnd"/>
      <w:r w:rsidRPr="00B161E8">
        <w:rPr>
          <w:rFonts w:ascii="Arial" w:hAnsi="Arial" w:cs="Arial"/>
          <w:color w:val="0D0D0D" w:themeColor="text1" w:themeTint="F2"/>
          <w:lang w:eastAsia="pl-PL"/>
        </w:rPr>
        <w:t xml:space="preserve"> postępów w realizacji zadań.</w:t>
      </w:r>
    </w:p>
    <w:p w14:paraId="15317CA9" w14:textId="77777777" w:rsidR="00B161E8" w:rsidRPr="00B161E8" w:rsidRDefault="00B161E8" w:rsidP="00B161E8">
      <w:pPr>
        <w:numPr>
          <w:ilvl w:val="0"/>
          <w:numId w:val="5"/>
        </w:numPr>
        <w:suppressAutoHyphens w:val="0"/>
        <w:spacing w:before="120" w:after="120" w:line="276" w:lineRule="auto"/>
        <w:contextualSpacing/>
        <w:jc w:val="left"/>
        <w:rPr>
          <w:rFonts w:ascii="Arial" w:hAnsi="Arial" w:cs="Arial"/>
          <w:color w:val="0D0D0D" w:themeColor="text1" w:themeTint="F2"/>
          <w:lang w:eastAsia="pl-PL"/>
        </w:rPr>
      </w:pPr>
      <w:r w:rsidRPr="00B161E8">
        <w:rPr>
          <w:rFonts w:ascii="Arial" w:hAnsi="Arial" w:cs="Arial"/>
          <w:color w:val="0D0D0D" w:themeColor="text1" w:themeTint="F2"/>
          <w:lang w:eastAsia="pl-PL"/>
        </w:rPr>
        <w:t>Wizyta monitoringowa może być przeprowadzana od dnia podpisania umowy o powierzenie grantu na realizację projektu objętego grantem i nie później niż do końca terminu realizacji grantu. Planuje się przeprowadzanie wizyty monitoringowej przed</w:t>
      </w:r>
    </w:p>
    <w:p w14:paraId="2688266E" w14:textId="77777777" w:rsidR="00B161E8" w:rsidRPr="00B161E8" w:rsidRDefault="00B161E8" w:rsidP="00B161E8">
      <w:pPr>
        <w:suppressAutoHyphens w:val="0"/>
        <w:spacing w:before="120" w:after="120" w:line="276" w:lineRule="auto"/>
        <w:ind w:left="208"/>
        <w:contextualSpacing/>
        <w:jc w:val="left"/>
        <w:rPr>
          <w:rFonts w:ascii="Arial" w:hAnsi="Arial" w:cs="Arial"/>
          <w:color w:val="0D0D0D" w:themeColor="text1" w:themeTint="F2"/>
          <w:lang w:eastAsia="pl-PL"/>
        </w:rPr>
      </w:pPr>
      <w:r w:rsidRPr="00B161E8">
        <w:rPr>
          <w:rFonts w:ascii="Arial" w:hAnsi="Arial" w:cs="Arial"/>
          <w:color w:val="0D0D0D" w:themeColor="text1" w:themeTint="F2"/>
          <w:lang w:eastAsia="pl-PL"/>
        </w:rPr>
        <w:t>wszczęciem kontroli planowej.</w:t>
      </w:r>
    </w:p>
    <w:p w14:paraId="503704EE" w14:textId="77777777" w:rsidR="00B161E8" w:rsidRPr="00B161E8" w:rsidRDefault="00B161E8" w:rsidP="00B161E8">
      <w:pPr>
        <w:numPr>
          <w:ilvl w:val="0"/>
          <w:numId w:val="5"/>
        </w:numPr>
        <w:suppressAutoHyphens w:val="0"/>
        <w:spacing w:before="120" w:after="120" w:line="276" w:lineRule="auto"/>
        <w:contextualSpacing/>
        <w:jc w:val="left"/>
        <w:rPr>
          <w:rFonts w:ascii="Arial" w:hAnsi="Arial" w:cs="Arial"/>
          <w:color w:val="0D0D0D" w:themeColor="text1" w:themeTint="F2"/>
          <w:lang w:eastAsia="pl-PL"/>
        </w:rPr>
      </w:pPr>
      <w:r w:rsidRPr="00B161E8">
        <w:rPr>
          <w:rFonts w:ascii="Arial" w:hAnsi="Arial" w:cs="Arial"/>
          <w:b/>
          <w:bCs/>
          <w:color w:val="0D0D0D" w:themeColor="text1" w:themeTint="F2"/>
          <w:lang w:eastAsia="pl-PL"/>
        </w:rPr>
        <w:t xml:space="preserve">Kontrola doraźna </w:t>
      </w:r>
    </w:p>
    <w:p w14:paraId="69C4F66D" w14:textId="77777777" w:rsidR="00B161E8" w:rsidRPr="00B161E8" w:rsidRDefault="00B161E8" w:rsidP="00B161E8">
      <w:pPr>
        <w:suppressAutoHyphens w:val="0"/>
        <w:spacing w:before="120" w:after="120" w:line="276" w:lineRule="auto"/>
        <w:ind w:left="208"/>
        <w:contextualSpacing/>
        <w:jc w:val="left"/>
        <w:rPr>
          <w:rFonts w:ascii="Arial" w:hAnsi="Arial" w:cs="Arial"/>
          <w:color w:val="0D0D0D" w:themeColor="text1" w:themeTint="F2"/>
          <w:lang w:eastAsia="pl-PL"/>
        </w:rPr>
      </w:pPr>
      <w:r w:rsidRPr="00B161E8">
        <w:rPr>
          <w:rFonts w:ascii="Arial" w:hAnsi="Arial" w:cs="Arial"/>
          <w:color w:val="0D0D0D" w:themeColor="text1" w:themeTint="F2"/>
          <w:lang w:eastAsia="pl-PL"/>
        </w:rPr>
        <w:t>Przeprowadzana jest niezwłocznie (lecz nie później niż 5 dni) po zaistnieniu okoliczności lub powzięciu informacji o podejrzeniu wystąpienia nieprawidłowości na podstawie, m. in.:</w:t>
      </w:r>
    </w:p>
    <w:p w14:paraId="442E96E1" w14:textId="77777777" w:rsidR="00B161E8" w:rsidRPr="00B161E8" w:rsidRDefault="00B161E8" w:rsidP="00B161E8">
      <w:pPr>
        <w:suppressAutoHyphens w:val="0"/>
        <w:spacing w:before="120" w:after="120" w:line="276" w:lineRule="auto"/>
        <w:ind w:left="142" w:hanging="294"/>
        <w:contextualSpacing/>
        <w:jc w:val="left"/>
        <w:rPr>
          <w:rFonts w:ascii="Arial" w:hAnsi="Arial" w:cs="Arial"/>
          <w:color w:val="0D0D0D" w:themeColor="text1" w:themeTint="F2"/>
          <w:lang w:eastAsia="pl-PL"/>
        </w:rPr>
      </w:pPr>
      <w:r w:rsidRPr="00B161E8">
        <w:rPr>
          <w:rFonts w:ascii="Arial" w:hAnsi="Arial" w:cs="Arial"/>
          <w:color w:val="0D0D0D" w:themeColor="text1" w:themeTint="F2"/>
          <w:lang w:eastAsia="pl-PL"/>
        </w:rPr>
        <w:t>-</w:t>
      </w:r>
      <w:r w:rsidRPr="00B161E8">
        <w:rPr>
          <w:rFonts w:ascii="Arial" w:hAnsi="Arial" w:cs="Arial"/>
          <w:color w:val="0D0D0D" w:themeColor="text1" w:themeTint="F2"/>
          <w:lang w:eastAsia="pl-PL"/>
        </w:rPr>
        <w:tab/>
        <w:t>informacji medialnej (prasa, telewizja);</w:t>
      </w:r>
    </w:p>
    <w:p w14:paraId="4A5F0310" w14:textId="77777777" w:rsidR="00B161E8" w:rsidRPr="00B161E8" w:rsidRDefault="00B161E8" w:rsidP="00B161E8">
      <w:pPr>
        <w:suppressAutoHyphens w:val="0"/>
        <w:spacing w:before="120" w:after="120" w:line="276" w:lineRule="auto"/>
        <w:ind w:left="142" w:hanging="294"/>
        <w:contextualSpacing/>
        <w:jc w:val="left"/>
        <w:rPr>
          <w:rFonts w:ascii="Arial" w:hAnsi="Arial" w:cs="Arial"/>
          <w:color w:val="0D0D0D" w:themeColor="text1" w:themeTint="F2"/>
          <w:lang w:eastAsia="pl-PL"/>
        </w:rPr>
      </w:pPr>
      <w:r w:rsidRPr="00B161E8">
        <w:rPr>
          <w:rFonts w:ascii="Arial" w:hAnsi="Arial" w:cs="Arial"/>
          <w:color w:val="0D0D0D" w:themeColor="text1" w:themeTint="F2"/>
          <w:lang w:eastAsia="pl-PL"/>
        </w:rPr>
        <w:t>-</w:t>
      </w:r>
      <w:r w:rsidRPr="00B161E8">
        <w:rPr>
          <w:rFonts w:ascii="Arial" w:hAnsi="Arial" w:cs="Arial"/>
          <w:color w:val="0D0D0D" w:themeColor="text1" w:themeTint="F2"/>
          <w:lang w:eastAsia="pl-PL"/>
        </w:rPr>
        <w:tab/>
        <w:t>informacji pozyskanej z innych źródeł (doniesienie ustne, pisemne);</w:t>
      </w:r>
    </w:p>
    <w:p w14:paraId="3A056809" w14:textId="77777777" w:rsidR="00B161E8" w:rsidRPr="00B161E8" w:rsidRDefault="00B161E8" w:rsidP="00B161E8">
      <w:pPr>
        <w:suppressAutoHyphens w:val="0"/>
        <w:spacing w:before="120" w:after="120" w:line="276" w:lineRule="auto"/>
        <w:ind w:left="142" w:hanging="294"/>
        <w:contextualSpacing/>
        <w:jc w:val="left"/>
        <w:rPr>
          <w:rFonts w:ascii="Arial" w:hAnsi="Arial" w:cs="Arial"/>
          <w:color w:val="0D0D0D" w:themeColor="text1" w:themeTint="F2"/>
          <w:lang w:eastAsia="pl-PL"/>
        </w:rPr>
      </w:pPr>
      <w:r w:rsidRPr="00B161E8">
        <w:rPr>
          <w:rFonts w:ascii="Arial" w:hAnsi="Arial" w:cs="Arial"/>
          <w:color w:val="0D0D0D" w:themeColor="text1" w:themeTint="F2"/>
          <w:lang w:eastAsia="pl-PL"/>
        </w:rPr>
        <w:t>-</w:t>
      </w:r>
      <w:r w:rsidRPr="00B161E8">
        <w:rPr>
          <w:rFonts w:ascii="Arial" w:hAnsi="Arial" w:cs="Arial"/>
          <w:color w:val="0D0D0D" w:themeColor="text1" w:themeTint="F2"/>
          <w:lang w:eastAsia="pl-PL"/>
        </w:rPr>
        <w:tab/>
        <w:t>informacji przesłanej przez instytucje, organy ścigania, itp.;</w:t>
      </w:r>
    </w:p>
    <w:p w14:paraId="7C74F855" w14:textId="77777777" w:rsidR="00B161E8" w:rsidRPr="00B161E8" w:rsidRDefault="00B161E8" w:rsidP="00B161E8">
      <w:pPr>
        <w:suppressAutoHyphens w:val="0"/>
        <w:spacing w:before="120" w:after="120" w:line="276" w:lineRule="auto"/>
        <w:ind w:left="142" w:hanging="294"/>
        <w:contextualSpacing/>
        <w:jc w:val="left"/>
        <w:rPr>
          <w:rFonts w:ascii="Arial" w:hAnsi="Arial" w:cs="Arial"/>
          <w:color w:val="0D0D0D" w:themeColor="text1" w:themeTint="F2"/>
          <w:lang w:eastAsia="pl-PL"/>
        </w:rPr>
      </w:pPr>
      <w:r w:rsidRPr="00B161E8">
        <w:rPr>
          <w:rFonts w:ascii="Arial" w:hAnsi="Arial" w:cs="Arial"/>
          <w:color w:val="0D0D0D" w:themeColor="text1" w:themeTint="F2"/>
          <w:lang w:eastAsia="pl-PL"/>
        </w:rPr>
        <w:t>-</w:t>
      </w:r>
      <w:r w:rsidRPr="00B161E8">
        <w:rPr>
          <w:rFonts w:ascii="Arial" w:hAnsi="Arial" w:cs="Arial"/>
          <w:color w:val="0D0D0D" w:themeColor="text1" w:themeTint="F2"/>
          <w:lang w:eastAsia="pl-PL"/>
        </w:rPr>
        <w:tab/>
        <w:t>ustaleń dokonanych w trakcie analizy sprawozdania, braku sprawozdania, braku wykonania działań naprawczych po kontroli planowej, doraźnej/ wizycie monitoringowej.</w:t>
      </w:r>
    </w:p>
    <w:p w14:paraId="2E67D7A1" w14:textId="77777777" w:rsidR="00B161E8" w:rsidRPr="00B161E8" w:rsidRDefault="00B161E8" w:rsidP="00B161E8">
      <w:pPr>
        <w:suppressAutoHyphens w:val="0"/>
        <w:spacing w:before="120" w:after="120" w:line="276" w:lineRule="auto"/>
        <w:ind w:left="142" w:hanging="294"/>
        <w:contextualSpacing/>
        <w:jc w:val="left"/>
        <w:rPr>
          <w:rFonts w:ascii="Arial" w:hAnsi="Arial" w:cs="Arial"/>
          <w:color w:val="0D0D0D" w:themeColor="text1" w:themeTint="F2"/>
          <w:lang w:eastAsia="pl-PL"/>
        </w:rPr>
      </w:pPr>
      <w:r w:rsidRPr="00B161E8">
        <w:rPr>
          <w:rFonts w:ascii="Arial" w:hAnsi="Arial" w:cs="Arial"/>
          <w:color w:val="0D0D0D" w:themeColor="text1" w:themeTint="F2"/>
          <w:lang w:eastAsia="pl-PL"/>
        </w:rPr>
        <w:t>-</w:t>
      </w:r>
      <w:r w:rsidRPr="00B161E8">
        <w:rPr>
          <w:rFonts w:ascii="Arial" w:hAnsi="Arial" w:cs="Arial"/>
          <w:color w:val="0D0D0D" w:themeColor="text1" w:themeTint="F2"/>
          <w:lang w:eastAsia="pl-PL"/>
        </w:rPr>
        <w:tab/>
        <w:t>w przypadku identyfikacji nieprawidłowości.</w:t>
      </w:r>
    </w:p>
    <w:p w14:paraId="60C813FA" w14:textId="77777777" w:rsidR="00B161E8" w:rsidRPr="00B161E8" w:rsidRDefault="00B161E8" w:rsidP="00B161E8">
      <w:pPr>
        <w:suppressAutoHyphens w:val="0"/>
        <w:spacing w:before="120" w:after="120" w:line="276" w:lineRule="auto"/>
        <w:ind w:left="142" w:hanging="294"/>
        <w:contextualSpacing/>
        <w:jc w:val="left"/>
        <w:rPr>
          <w:rFonts w:ascii="Arial" w:hAnsi="Arial" w:cs="Arial"/>
          <w:color w:val="0D0D0D" w:themeColor="text1" w:themeTint="F2"/>
          <w:lang w:eastAsia="pl-PL"/>
        </w:rPr>
      </w:pPr>
      <w:r w:rsidRPr="00B161E8">
        <w:rPr>
          <w:rFonts w:ascii="Arial" w:hAnsi="Arial" w:cs="Arial"/>
          <w:color w:val="0D0D0D" w:themeColor="text1" w:themeTint="F2"/>
          <w:lang w:eastAsia="pl-PL"/>
        </w:rPr>
        <w:t>9. Po zaistnieniu okoliczności lub powzięciu informacji o podejrzeniu wystąpienia nieprawidłowości kadra projektu podejmuje decyzję o wszczęciu procesu kontroli doraźnej ustalając termin na podstawie danych zawartych we wniosku o powierzenie grantu oraz informacji zawartych w harmonogramie realizacji wsparcia.</w:t>
      </w:r>
    </w:p>
    <w:p w14:paraId="76B34B83" w14:textId="77777777" w:rsidR="00B161E8" w:rsidRPr="00B161E8" w:rsidRDefault="00B161E8" w:rsidP="00B161E8">
      <w:pPr>
        <w:suppressAutoHyphens w:val="0"/>
        <w:spacing w:before="120" w:after="120" w:line="276" w:lineRule="auto"/>
        <w:ind w:left="142" w:hanging="294"/>
        <w:contextualSpacing/>
        <w:jc w:val="left"/>
        <w:rPr>
          <w:rFonts w:ascii="Arial" w:hAnsi="Arial" w:cs="Arial"/>
          <w:color w:val="0D0D0D" w:themeColor="text1" w:themeTint="F2"/>
          <w:lang w:eastAsia="pl-PL"/>
        </w:rPr>
      </w:pPr>
      <w:r w:rsidRPr="00B161E8">
        <w:rPr>
          <w:rFonts w:ascii="Arial" w:hAnsi="Arial" w:cs="Arial"/>
          <w:color w:val="0D0D0D" w:themeColor="text1" w:themeTint="F2"/>
          <w:lang w:eastAsia="pl-PL"/>
        </w:rPr>
        <w:t xml:space="preserve">10. Kontrola doraźna może być przeprowadzona w siedzibie </w:t>
      </w:r>
      <w:proofErr w:type="spellStart"/>
      <w:r w:rsidRPr="00B161E8">
        <w:rPr>
          <w:rFonts w:ascii="Arial" w:hAnsi="Arial" w:cs="Arial"/>
          <w:color w:val="0D0D0D" w:themeColor="text1" w:themeTint="F2"/>
          <w:lang w:eastAsia="pl-PL"/>
        </w:rPr>
        <w:t>Grantobiorcy</w:t>
      </w:r>
      <w:proofErr w:type="spellEnd"/>
      <w:r w:rsidRPr="00B161E8">
        <w:rPr>
          <w:rFonts w:ascii="Arial" w:hAnsi="Arial" w:cs="Arial"/>
          <w:color w:val="0D0D0D" w:themeColor="text1" w:themeTint="F2"/>
          <w:lang w:eastAsia="pl-PL"/>
        </w:rPr>
        <w:t xml:space="preserve">, w miejscu realizacji projektu objętego grantem, w biurze projektu, przy czym niektóre czynności kontrolne mogą być prowadzone w siedzibie podmiotu kontrolującego na podstawie danych i dokumentów przekazywanych przez </w:t>
      </w:r>
      <w:proofErr w:type="spellStart"/>
      <w:r w:rsidRPr="00B161E8">
        <w:rPr>
          <w:rFonts w:ascii="Arial" w:hAnsi="Arial" w:cs="Arial"/>
          <w:color w:val="0D0D0D" w:themeColor="text1" w:themeTint="F2"/>
          <w:lang w:eastAsia="pl-PL"/>
        </w:rPr>
        <w:t>Grantobiorcę</w:t>
      </w:r>
      <w:proofErr w:type="spellEnd"/>
      <w:r w:rsidRPr="00B161E8">
        <w:rPr>
          <w:rFonts w:ascii="Arial" w:hAnsi="Arial" w:cs="Arial"/>
          <w:color w:val="0D0D0D" w:themeColor="text1" w:themeTint="F2"/>
          <w:lang w:eastAsia="pl-PL"/>
        </w:rPr>
        <w:t xml:space="preserve">. W uzasadnionych przypadkach, m. in. gdy wsparcie w ramach projektu objętego grantem jest udzielane w formule zdalnej, możliwe jest </w:t>
      </w:r>
      <w:r w:rsidRPr="00B161E8">
        <w:rPr>
          <w:rFonts w:ascii="Arial" w:hAnsi="Arial" w:cs="Arial"/>
          <w:color w:val="0D0D0D" w:themeColor="text1" w:themeTint="F2"/>
          <w:lang w:eastAsia="pl-PL"/>
        </w:rPr>
        <w:lastRenderedPageBreak/>
        <w:t>prowadzenie czynności kontrolnych zdalnie, za pośrednictwem kanałów komunikacji elektronicznej.</w:t>
      </w:r>
    </w:p>
    <w:p w14:paraId="5764DDCB" w14:textId="77777777" w:rsidR="00B161E8" w:rsidRPr="00B161E8" w:rsidRDefault="00B161E8" w:rsidP="00B161E8">
      <w:pPr>
        <w:suppressAutoHyphens w:val="0"/>
        <w:spacing w:before="120" w:after="120" w:line="276" w:lineRule="auto"/>
        <w:ind w:left="142" w:hanging="294"/>
        <w:contextualSpacing/>
        <w:jc w:val="left"/>
        <w:rPr>
          <w:rFonts w:ascii="Arial" w:hAnsi="Arial" w:cs="Arial"/>
          <w:color w:val="0D0D0D" w:themeColor="text1" w:themeTint="F2"/>
          <w:lang w:eastAsia="pl-PL"/>
        </w:rPr>
      </w:pPr>
      <w:r w:rsidRPr="00B161E8">
        <w:rPr>
          <w:rFonts w:ascii="Arial" w:hAnsi="Arial" w:cs="Arial"/>
          <w:color w:val="0D0D0D" w:themeColor="text1" w:themeTint="F2"/>
          <w:lang w:eastAsia="pl-PL"/>
        </w:rPr>
        <w:t xml:space="preserve">11. Kontrola doraźna przeprowadzana jest na podstawie listy sprawdzającej wyłącznie w zakresie, w którym odnotowano podejrzenie wystąpienia nieprawidłowości. </w:t>
      </w:r>
    </w:p>
    <w:p w14:paraId="539DA2AA" w14:textId="77777777" w:rsidR="00B161E8" w:rsidRPr="00B161E8" w:rsidRDefault="00B161E8" w:rsidP="00B161E8">
      <w:pPr>
        <w:suppressAutoHyphens w:val="0"/>
        <w:spacing w:line="276" w:lineRule="auto"/>
        <w:jc w:val="left"/>
        <w:rPr>
          <w:rFonts w:ascii="Arial" w:hAnsi="Arial" w:cs="Arial"/>
          <w:color w:val="0D0D0D" w:themeColor="text1" w:themeTint="F2"/>
          <w:lang w:eastAsia="pl-PL"/>
        </w:rPr>
      </w:pPr>
    </w:p>
    <w:p w14:paraId="059AC2A9" w14:textId="57CACE2C" w:rsidR="00F93887" w:rsidRPr="00D222D0" w:rsidRDefault="00F93887" w:rsidP="00B161E8">
      <w:pPr>
        <w:tabs>
          <w:tab w:val="left" w:pos="709"/>
          <w:tab w:val="left" w:pos="4962"/>
        </w:tabs>
        <w:spacing w:line="276" w:lineRule="auto"/>
        <w:jc w:val="left"/>
        <w:rPr>
          <w:rFonts w:ascii="Arial" w:hAnsi="Arial" w:cs="Arial"/>
        </w:rPr>
      </w:pPr>
    </w:p>
    <w:sectPr w:rsidR="00F93887" w:rsidRPr="00D222D0" w:rsidSect="00D222D0">
      <w:footerReference w:type="default" r:id="rId8"/>
      <w:headerReference w:type="first" r:id="rId9"/>
      <w:pgSz w:w="11906" w:h="16838"/>
      <w:pgMar w:top="1417" w:right="1417" w:bottom="1417" w:left="141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A54E2" w14:textId="77777777" w:rsidR="00293828" w:rsidRDefault="00293828" w:rsidP="00C07DD0">
      <w:r>
        <w:separator/>
      </w:r>
    </w:p>
  </w:endnote>
  <w:endnote w:type="continuationSeparator" w:id="0">
    <w:p w14:paraId="6404C8F4" w14:textId="77777777" w:rsidR="00293828" w:rsidRDefault="00293828" w:rsidP="00C07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3E322" w14:textId="77777777" w:rsidR="00F55652" w:rsidRDefault="00F5565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041B6" w:rsidRPr="003041B6">
      <w:rPr>
        <w:noProof/>
        <w:lang w:val="pl-PL"/>
      </w:rPr>
      <w:t>2</w:t>
    </w:r>
    <w:r>
      <w:fldChar w:fldCharType="end"/>
    </w:r>
  </w:p>
  <w:p w14:paraId="541D5D93" w14:textId="77777777" w:rsidR="00F55652" w:rsidRDefault="00F55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E964A" w14:textId="77777777" w:rsidR="00293828" w:rsidRDefault="00293828" w:rsidP="00C07DD0">
      <w:r>
        <w:separator/>
      </w:r>
    </w:p>
  </w:footnote>
  <w:footnote w:type="continuationSeparator" w:id="0">
    <w:p w14:paraId="7D573943" w14:textId="77777777" w:rsidR="00293828" w:rsidRDefault="00293828" w:rsidP="00C07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8EC7C" w14:textId="2ADDE0B8" w:rsidR="007941E3" w:rsidRPr="00F75634" w:rsidRDefault="00793299" w:rsidP="00D222D0">
    <w:pPr>
      <w:pStyle w:val="Nagwek"/>
      <w:jc w:val="left"/>
    </w:pPr>
    <w:r>
      <w:rPr>
        <w:noProof/>
      </w:rPr>
      <w:drawing>
        <wp:inline distT="0" distB="0" distL="0" distR="0" wp14:anchorId="1523C951" wp14:editId="5AA5B875">
          <wp:extent cx="5755005" cy="713105"/>
          <wp:effectExtent l="0" t="0" r="0" b="0"/>
          <wp:docPr id="729271443" name="Obraz 1" descr="unijny pasek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9271443" name="Obraz 1" descr="unijny pasek logotypó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9229C"/>
    <w:multiLevelType w:val="hybridMultilevel"/>
    <w:tmpl w:val="034CB6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900CE"/>
    <w:multiLevelType w:val="hybridMultilevel"/>
    <w:tmpl w:val="328ED968"/>
    <w:lvl w:ilvl="0" w:tplc="F6884FB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1A2140"/>
    <w:multiLevelType w:val="hybridMultilevel"/>
    <w:tmpl w:val="25B639FE"/>
    <w:lvl w:ilvl="0" w:tplc="CA5A9C6A">
      <w:start w:val="1"/>
      <w:numFmt w:val="decimal"/>
      <w:lvlText w:val="%1."/>
      <w:lvlJc w:val="left"/>
      <w:pPr>
        <w:ind w:left="2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1648" w:hanging="180"/>
      </w:pPr>
    </w:lvl>
    <w:lvl w:ilvl="3" w:tplc="0415000F" w:tentative="1">
      <w:start w:val="1"/>
      <w:numFmt w:val="decimal"/>
      <w:lvlText w:val="%4."/>
      <w:lvlJc w:val="left"/>
      <w:pPr>
        <w:ind w:left="2368" w:hanging="360"/>
      </w:pPr>
    </w:lvl>
    <w:lvl w:ilvl="4" w:tplc="04150019" w:tentative="1">
      <w:start w:val="1"/>
      <w:numFmt w:val="lowerLetter"/>
      <w:lvlText w:val="%5."/>
      <w:lvlJc w:val="left"/>
      <w:pPr>
        <w:ind w:left="3088" w:hanging="360"/>
      </w:pPr>
    </w:lvl>
    <w:lvl w:ilvl="5" w:tplc="0415001B" w:tentative="1">
      <w:start w:val="1"/>
      <w:numFmt w:val="lowerRoman"/>
      <w:lvlText w:val="%6."/>
      <w:lvlJc w:val="right"/>
      <w:pPr>
        <w:ind w:left="3808" w:hanging="180"/>
      </w:pPr>
    </w:lvl>
    <w:lvl w:ilvl="6" w:tplc="0415000F" w:tentative="1">
      <w:start w:val="1"/>
      <w:numFmt w:val="decimal"/>
      <w:lvlText w:val="%7."/>
      <w:lvlJc w:val="left"/>
      <w:pPr>
        <w:ind w:left="4528" w:hanging="360"/>
      </w:pPr>
    </w:lvl>
    <w:lvl w:ilvl="7" w:tplc="04150019" w:tentative="1">
      <w:start w:val="1"/>
      <w:numFmt w:val="lowerLetter"/>
      <w:lvlText w:val="%8."/>
      <w:lvlJc w:val="left"/>
      <w:pPr>
        <w:ind w:left="5248" w:hanging="360"/>
      </w:pPr>
    </w:lvl>
    <w:lvl w:ilvl="8" w:tplc="0415001B" w:tentative="1">
      <w:start w:val="1"/>
      <w:numFmt w:val="lowerRoman"/>
      <w:lvlText w:val="%9."/>
      <w:lvlJc w:val="right"/>
      <w:pPr>
        <w:ind w:left="5968" w:hanging="180"/>
      </w:pPr>
    </w:lvl>
  </w:abstractNum>
  <w:abstractNum w:abstractNumId="3" w15:restartNumberingAfterBreak="0">
    <w:nsid w:val="7B2A469C"/>
    <w:multiLevelType w:val="hybridMultilevel"/>
    <w:tmpl w:val="36E07F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364B1A"/>
    <w:multiLevelType w:val="hybridMultilevel"/>
    <w:tmpl w:val="F02EAEFA"/>
    <w:lvl w:ilvl="0" w:tplc="02FA7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7333927">
    <w:abstractNumId w:val="3"/>
  </w:num>
  <w:num w:numId="2" w16cid:durableId="1019238909">
    <w:abstractNumId w:val="4"/>
  </w:num>
  <w:num w:numId="3" w16cid:durableId="1776247581">
    <w:abstractNumId w:val="1"/>
  </w:num>
  <w:num w:numId="4" w16cid:durableId="2039964495">
    <w:abstractNumId w:val="0"/>
  </w:num>
  <w:num w:numId="5" w16cid:durableId="2011634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E51"/>
    <w:rsid w:val="00022B14"/>
    <w:rsid w:val="00027F34"/>
    <w:rsid w:val="00030D7F"/>
    <w:rsid w:val="00043E74"/>
    <w:rsid w:val="00053F60"/>
    <w:rsid w:val="00057C9F"/>
    <w:rsid w:val="00064BCF"/>
    <w:rsid w:val="00086FA4"/>
    <w:rsid w:val="00091855"/>
    <w:rsid w:val="0009292B"/>
    <w:rsid w:val="000A6836"/>
    <w:rsid w:val="000B297D"/>
    <w:rsid w:val="000B2D26"/>
    <w:rsid w:val="000D5DC0"/>
    <w:rsid w:val="000F3516"/>
    <w:rsid w:val="00111AB0"/>
    <w:rsid w:val="00113DA7"/>
    <w:rsid w:val="00136141"/>
    <w:rsid w:val="00140190"/>
    <w:rsid w:val="00140277"/>
    <w:rsid w:val="0019173A"/>
    <w:rsid w:val="001C71B1"/>
    <w:rsid w:val="001C7E7F"/>
    <w:rsid w:val="001E702B"/>
    <w:rsid w:val="00220DBE"/>
    <w:rsid w:val="00220EE2"/>
    <w:rsid w:val="00222F7B"/>
    <w:rsid w:val="002268CA"/>
    <w:rsid w:val="002348F7"/>
    <w:rsid w:val="00243560"/>
    <w:rsid w:val="002475D0"/>
    <w:rsid w:val="00247DFF"/>
    <w:rsid w:val="0025435B"/>
    <w:rsid w:val="00261571"/>
    <w:rsid w:val="00293828"/>
    <w:rsid w:val="00294314"/>
    <w:rsid w:val="00296B75"/>
    <w:rsid w:val="002A2571"/>
    <w:rsid w:val="002A2E57"/>
    <w:rsid w:val="002B3B4E"/>
    <w:rsid w:val="002B4097"/>
    <w:rsid w:val="002B6A38"/>
    <w:rsid w:val="002C46A7"/>
    <w:rsid w:val="002D3FFE"/>
    <w:rsid w:val="002D66AB"/>
    <w:rsid w:val="002E3701"/>
    <w:rsid w:val="002E3AB3"/>
    <w:rsid w:val="002E6723"/>
    <w:rsid w:val="002F3EEF"/>
    <w:rsid w:val="002F5ACE"/>
    <w:rsid w:val="003041B6"/>
    <w:rsid w:val="003169E8"/>
    <w:rsid w:val="0032716B"/>
    <w:rsid w:val="00343339"/>
    <w:rsid w:val="003564C6"/>
    <w:rsid w:val="00361184"/>
    <w:rsid w:val="0036448B"/>
    <w:rsid w:val="00370890"/>
    <w:rsid w:val="003845F7"/>
    <w:rsid w:val="003854D8"/>
    <w:rsid w:val="00386FFB"/>
    <w:rsid w:val="0038772C"/>
    <w:rsid w:val="003A2072"/>
    <w:rsid w:val="003D5006"/>
    <w:rsid w:val="004041A3"/>
    <w:rsid w:val="00414447"/>
    <w:rsid w:val="00460F6C"/>
    <w:rsid w:val="0046480A"/>
    <w:rsid w:val="00465168"/>
    <w:rsid w:val="00467FC4"/>
    <w:rsid w:val="004714C3"/>
    <w:rsid w:val="00482339"/>
    <w:rsid w:val="004A676A"/>
    <w:rsid w:val="004B2ED9"/>
    <w:rsid w:val="004B6F4F"/>
    <w:rsid w:val="004C5231"/>
    <w:rsid w:val="004D6690"/>
    <w:rsid w:val="004E4713"/>
    <w:rsid w:val="0052160C"/>
    <w:rsid w:val="00537BD6"/>
    <w:rsid w:val="00540A40"/>
    <w:rsid w:val="00544EE2"/>
    <w:rsid w:val="00546944"/>
    <w:rsid w:val="00552F1A"/>
    <w:rsid w:val="00553369"/>
    <w:rsid w:val="005802B9"/>
    <w:rsid w:val="005805E6"/>
    <w:rsid w:val="0058238E"/>
    <w:rsid w:val="005925B9"/>
    <w:rsid w:val="005A2294"/>
    <w:rsid w:val="005A4184"/>
    <w:rsid w:val="005C7392"/>
    <w:rsid w:val="005E611B"/>
    <w:rsid w:val="005E7E98"/>
    <w:rsid w:val="005F6EB2"/>
    <w:rsid w:val="0061262B"/>
    <w:rsid w:val="00615041"/>
    <w:rsid w:val="00625C58"/>
    <w:rsid w:val="00632571"/>
    <w:rsid w:val="00634982"/>
    <w:rsid w:val="00650936"/>
    <w:rsid w:val="00651F38"/>
    <w:rsid w:val="0065469F"/>
    <w:rsid w:val="0065792C"/>
    <w:rsid w:val="00660B13"/>
    <w:rsid w:val="006632E3"/>
    <w:rsid w:val="00667EA2"/>
    <w:rsid w:val="00675A5E"/>
    <w:rsid w:val="006A79F7"/>
    <w:rsid w:val="006B3826"/>
    <w:rsid w:val="006B7496"/>
    <w:rsid w:val="006C0B3B"/>
    <w:rsid w:val="006C7264"/>
    <w:rsid w:val="006C7CA6"/>
    <w:rsid w:val="006D05FD"/>
    <w:rsid w:val="006D14B1"/>
    <w:rsid w:val="006D2E51"/>
    <w:rsid w:val="006F6DE6"/>
    <w:rsid w:val="00701CBE"/>
    <w:rsid w:val="00722F11"/>
    <w:rsid w:val="007264BF"/>
    <w:rsid w:val="00743FFB"/>
    <w:rsid w:val="00780583"/>
    <w:rsid w:val="00781538"/>
    <w:rsid w:val="00793299"/>
    <w:rsid w:val="007941E3"/>
    <w:rsid w:val="007A7ECA"/>
    <w:rsid w:val="007C5DF4"/>
    <w:rsid w:val="007C703D"/>
    <w:rsid w:val="007D2024"/>
    <w:rsid w:val="007E4B33"/>
    <w:rsid w:val="007E676A"/>
    <w:rsid w:val="007F6E8C"/>
    <w:rsid w:val="00822041"/>
    <w:rsid w:val="008273D4"/>
    <w:rsid w:val="0083128A"/>
    <w:rsid w:val="00842990"/>
    <w:rsid w:val="008467F9"/>
    <w:rsid w:val="00847E46"/>
    <w:rsid w:val="00864FA7"/>
    <w:rsid w:val="00873E86"/>
    <w:rsid w:val="00885E51"/>
    <w:rsid w:val="008933A9"/>
    <w:rsid w:val="008A5662"/>
    <w:rsid w:val="008A6594"/>
    <w:rsid w:val="008B06B7"/>
    <w:rsid w:val="008F140C"/>
    <w:rsid w:val="00905731"/>
    <w:rsid w:val="00907C44"/>
    <w:rsid w:val="009107DB"/>
    <w:rsid w:val="009124E9"/>
    <w:rsid w:val="0092094B"/>
    <w:rsid w:val="00927C3B"/>
    <w:rsid w:val="009317FB"/>
    <w:rsid w:val="00952397"/>
    <w:rsid w:val="00956201"/>
    <w:rsid w:val="00956CAB"/>
    <w:rsid w:val="0096486E"/>
    <w:rsid w:val="00966259"/>
    <w:rsid w:val="009765E3"/>
    <w:rsid w:val="00976ED3"/>
    <w:rsid w:val="0098188B"/>
    <w:rsid w:val="00981DF0"/>
    <w:rsid w:val="00984E22"/>
    <w:rsid w:val="009A7347"/>
    <w:rsid w:val="009A7973"/>
    <w:rsid w:val="009B45AB"/>
    <w:rsid w:val="009B77C7"/>
    <w:rsid w:val="009D215F"/>
    <w:rsid w:val="009E622E"/>
    <w:rsid w:val="00A21E11"/>
    <w:rsid w:val="00A32AD8"/>
    <w:rsid w:val="00A34DCE"/>
    <w:rsid w:val="00A35D0F"/>
    <w:rsid w:val="00A4563D"/>
    <w:rsid w:val="00A55F68"/>
    <w:rsid w:val="00A66AFB"/>
    <w:rsid w:val="00A7617F"/>
    <w:rsid w:val="00A7789B"/>
    <w:rsid w:val="00A93B41"/>
    <w:rsid w:val="00A97DFE"/>
    <w:rsid w:val="00AA10D2"/>
    <w:rsid w:val="00AA3E51"/>
    <w:rsid w:val="00AA77AD"/>
    <w:rsid w:val="00AB2BA5"/>
    <w:rsid w:val="00AB3A4F"/>
    <w:rsid w:val="00AB48B6"/>
    <w:rsid w:val="00AC3C88"/>
    <w:rsid w:val="00AC50B3"/>
    <w:rsid w:val="00AD64BC"/>
    <w:rsid w:val="00B01243"/>
    <w:rsid w:val="00B015BB"/>
    <w:rsid w:val="00B057A0"/>
    <w:rsid w:val="00B161E8"/>
    <w:rsid w:val="00B278D3"/>
    <w:rsid w:val="00B32147"/>
    <w:rsid w:val="00B341C6"/>
    <w:rsid w:val="00B419F8"/>
    <w:rsid w:val="00B47290"/>
    <w:rsid w:val="00B67410"/>
    <w:rsid w:val="00B710F0"/>
    <w:rsid w:val="00BC6454"/>
    <w:rsid w:val="00BC6C71"/>
    <w:rsid w:val="00BC73F4"/>
    <w:rsid w:val="00BD03D4"/>
    <w:rsid w:val="00BD46DA"/>
    <w:rsid w:val="00BE0D9A"/>
    <w:rsid w:val="00BE4388"/>
    <w:rsid w:val="00C00EC3"/>
    <w:rsid w:val="00C07DD0"/>
    <w:rsid w:val="00C120C3"/>
    <w:rsid w:val="00C30E28"/>
    <w:rsid w:val="00C72355"/>
    <w:rsid w:val="00C7278C"/>
    <w:rsid w:val="00C73671"/>
    <w:rsid w:val="00C911A8"/>
    <w:rsid w:val="00CC4350"/>
    <w:rsid w:val="00CC61E8"/>
    <w:rsid w:val="00CC7EF4"/>
    <w:rsid w:val="00CD0A2E"/>
    <w:rsid w:val="00CE00B3"/>
    <w:rsid w:val="00CE0C14"/>
    <w:rsid w:val="00CE23BB"/>
    <w:rsid w:val="00CE5B70"/>
    <w:rsid w:val="00CE7FEB"/>
    <w:rsid w:val="00CF001F"/>
    <w:rsid w:val="00CF437E"/>
    <w:rsid w:val="00CF58D2"/>
    <w:rsid w:val="00D222D0"/>
    <w:rsid w:val="00DA5A85"/>
    <w:rsid w:val="00DB1ED9"/>
    <w:rsid w:val="00DB7EA8"/>
    <w:rsid w:val="00DD3297"/>
    <w:rsid w:val="00DE6C30"/>
    <w:rsid w:val="00DF71EE"/>
    <w:rsid w:val="00E05EC8"/>
    <w:rsid w:val="00E15EDB"/>
    <w:rsid w:val="00E24847"/>
    <w:rsid w:val="00E31B2F"/>
    <w:rsid w:val="00E40FE4"/>
    <w:rsid w:val="00E41DAB"/>
    <w:rsid w:val="00E50504"/>
    <w:rsid w:val="00E55660"/>
    <w:rsid w:val="00E90531"/>
    <w:rsid w:val="00E945CA"/>
    <w:rsid w:val="00EA283D"/>
    <w:rsid w:val="00EA7266"/>
    <w:rsid w:val="00EA77D5"/>
    <w:rsid w:val="00EB7458"/>
    <w:rsid w:val="00EC6156"/>
    <w:rsid w:val="00EE295E"/>
    <w:rsid w:val="00F0397B"/>
    <w:rsid w:val="00F0427B"/>
    <w:rsid w:val="00F1225B"/>
    <w:rsid w:val="00F12A6B"/>
    <w:rsid w:val="00F130FA"/>
    <w:rsid w:val="00F2581D"/>
    <w:rsid w:val="00F3431B"/>
    <w:rsid w:val="00F425D3"/>
    <w:rsid w:val="00F55652"/>
    <w:rsid w:val="00F72ED8"/>
    <w:rsid w:val="00F75634"/>
    <w:rsid w:val="00F81550"/>
    <w:rsid w:val="00F93887"/>
    <w:rsid w:val="00FA51F6"/>
    <w:rsid w:val="00FB222C"/>
    <w:rsid w:val="00FB5A14"/>
    <w:rsid w:val="00FC4F1E"/>
    <w:rsid w:val="00FC5D69"/>
    <w:rsid w:val="00FC7072"/>
    <w:rsid w:val="00FC7607"/>
    <w:rsid w:val="00FD1696"/>
    <w:rsid w:val="00FE1F89"/>
    <w:rsid w:val="00FE6B5D"/>
    <w:rsid w:val="00FE737A"/>
    <w:rsid w:val="00FF07A2"/>
    <w:rsid w:val="00FF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51876C"/>
  <w15:chartTrackingRefBased/>
  <w15:docId w15:val="{B9EFF4B9-E329-461D-8FC4-AE2BB8C33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5E51"/>
    <w:pPr>
      <w:suppressAutoHyphens/>
      <w:jc w:val="both"/>
    </w:pPr>
    <w:rPr>
      <w:rFonts w:ascii="Verdana" w:eastAsia="Times New Roman" w:hAnsi="Verdana" w:cs="OpenSymbol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85E5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07DD0"/>
    <w:pPr>
      <w:tabs>
        <w:tab w:val="center" w:pos="4536"/>
        <w:tab w:val="right" w:pos="9072"/>
      </w:tabs>
    </w:pPr>
    <w:rPr>
      <w:rFonts w:cs="Times New Roman"/>
      <w:sz w:val="20"/>
      <w:szCs w:val="20"/>
      <w:lang w:val="x-none"/>
    </w:rPr>
  </w:style>
  <w:style w:type="character" w:customStyle="1" w:styleId="NagwekZnak">
    <w:name w:val="Nagłówek Znak"/>
    <w:link w:val="Nagwek"/>
    <w:uiPriority w:val="99"/>
    <w:rsid w:val="00C07DD0"/>
    <w:rPr>
      <w:rFonts w:ascii="Verdana" w:eastAsia="Times New Roman" w:hAnsi="Verdana" w:cs="OpenSymbol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07DD0"/>
    <w:pPr>
      <w:tabs>
        <w:tab w:val="center" w:pos="4536"/>
        <w:tab w:val="right" w:pos="9072"/>
      </w:tabs>
    </w:pPr>
    <w:rPr>
      <w:rFonts w:cs="Times New Roman"/>
      <w:sz w:val="20"/>
      <w:szCs w:val="20"/>
      <w:lang w:val="x-none"/>
    </w:rPr>
  </w:style>
  <w:style w:type="character" w:customStyle="1" w:styleId="StopkaZnak">
    <w:name w:val="Stopka Znak"/>
    <w:link w:val="Stopka"/>
    <w:uiPriority w:val="99"/>
    <w:rsid w:val="00C07DD0"/>
    <w:rPr>
      <w:rFonts w:ascii="Verdana" w:eastAsia="Times New Roman" w:hAnsi="Verdana" w:cs="OpenSymbol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6156"/>
    <w:rPr>
      <w:rFonts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C6156"/>
    <w:rPr>
      <w:rFonts w:ascii="Verdana" w:eastAsia="Times New Roman" w:hAnsi="Verdana" w:cs="OpenSymbol"/>
      <w:lang w:eastAsia="ar-SA"/>
    </w:rPr>
  </w:style>
  <w:style w:type="character" w:styleId="Odwoanieprzypisukocowego">
    <w:name w:val="endnote reference"/>
    <w:uiPriority w:val="99"/>
    <w:semiHidden/>
    <w:unhideWhenUsed/>
    <w:rsid w:val="00EC615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3AB3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E3AB3"/>
    <w:rPr>
      <w:rFonts w:ascii="Verdana" w:eastAsia="Times New Roman" w:hAnsi="Verdana" w:cs="OpenSymbol"/>
      <w:lang w:eastAsia="ar-SA"/>
    </w:rPr>
  </w:style>
  <w:style w:type="character" w:styleId="Odwoanieprzypisudolnego">
    <w:name w:val="footnote reference"/>
    <w:uiPriority w:val="99"/>
    <w:semiHidden/>
    <w:unhideWhenUsed/>
    <w:rsid w:val="002E3AB3"/>
    <w:rPr>
      <w:vertAlign w:val="superscript"/>
    </w:rPr>
  </w:style>
  <w:style w:type="table" w:styleId="Tabela-Siatka">
    <w:name w:val="Table Grid"/>
    <w:basedOn w:val="Standardowy"/>
    <w:uiPriority w:val="59"/>
    <w:rsid w:val="006F6D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A34D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4DCE"/>
    <w:pPr>
      <w:suppressAutoHyphens w:val="0"/>
      <w:jc w:val="left"/>
    </w:pPr>
    <w:rPr>
      <w:rFonts w:ascii="Arial" w:hAnsi="Arial" w:cs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rsid w:val="00A34DCE"/>
    <w:rPr>
      <w:rFonts w:ascii="Arial" w:eastAsia="Times New Roman" w:hAnsi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4D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34DCE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6690"/>
    <w:pPr>
      <w:suppressAutoHyphens/>
      <w:jc w:val="both"/>
    </w:pPr>
    <w:rPr>
      <w:rFonts w:ascii="Verdana" w:hAnsi="Verdana" w:cs="OpenSymbol"/>
      <w:b/>
      <w:bCs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sid w:val="004D6690"/>
    <w:rPr>
      <w:rFonts w:ascii="Verdana" w:eastAsia="Times New Roman" w:hAnsi="Verdana" w:cs="OpenSymbol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8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CAFA2-94C6-4A4F-AB1F-99540D431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482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POUFNOŚCI I BEZSTRONNOŚCI</vt:lpstr>
    </vt:vector>
  </TitlesOfParts>
  <Company>Microsoft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POUFNOŚCI I BEZSTRONNOŚCI</dc:title>
  <dc:subject/>
  <dc:creator>PROW_1</dc:creator>
  <cp:keywords/>
  <dc:description/>
  <cp:lastModifiedBy>ILONA LINCZOWSKA</cp:lastModifiedBy>
  <cp:revision>1</cp:revision>
  <cp:lastPrinted>2021-06-29T11:18:00Z</cp:lastPrinted>
  <dcterms:created xsi:type="dcterms:W3CDTF">2024-11-29T09:56:00Z</dcterms:created>
  <dcterms:modified xsi:type="dcterms:W3CDTF">2025-01-28T07:51:00Z</dcterms:modified>
</cp:coreProperties>
</file>